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none" w:color="FFFFFF" w:sz="0"/>
              <w:left w:val="none" w:color="FFFFFF" w:sz="0"/>
              <w:bottom w:val="none" w:color="FFFFFF" w:sz="0"/>
              <w:right w:val="none" w:color="FFFFFF" w:sz="0"/>
            </w:tcBorders>
            <w:shd w:fill="FFF0F7" w:val="clear"/>
            <w:tcMar>
              <w:top w:type="dxa" w:w="320"/>
              <w:left w:type="dxa" w:w="400"/>
              <w:bottom w:type="dxa" w:w="320"/>
              <w:right w:type="dxa" w:w="400"/>
            </w:tcMar>
          </w:tcPr>
          <w:p>
            <w:pPr>
              <w:spacing w:after="80"/>
            </w:pPr>
            <w:r>
              <w:rPr>
                <w:rFonts w:ascii="Arial" w:cs="Arial" w:eastAsia="Arial" w:hAnsi="Arial"/>
                <w:b/>
                <w:bCs/>
                <w:color w:val="FF6A3D"/>
                <w:sz w:val="20"/>
                <w:szCs w:val="20"/>
              </w:rPr>
              <w:t xml:space="preserve">TRUSTEE OPPORTUNITY</w:t>
            </w:r>
          </w:p>
          <w:p>
            <w:pPr>
              <w:spacing w:after="100"/>
            </w:pPr>
            <w:r>
              <w:rPr>
                <w:rFonts w:ascii="Arial" w:cs="Arial" w:eastAsia="Arial" w:hAnsi="Arial"/>
                <w:b/>
                <w:bCs/>
                <w:color w:val="FF2E93"/>
                <w:sz w:val="40"/>
                <w:szCs w:val="40"/>
              </w:rPr>
              <w:t xml:space="preserve">HR Trustee – Human Resources &amp; People Culture</w:t>
            </w:r>
          </w:p>
          <w:p>
            <w:r>
              <w:rPr>
                <w:rFonts w:ascii="Arial" w:cs="Arial" w:eastAsia="Arial" w:hAnsi="Arial"/>
                <w:i/>
                <w:iCs/>
                <w:color w:val="555555"/>
                <w:sz w:val="22"/>
                <w:szCs w:val="22"/>
              </w:rPr>
              <w:t xml:space="preserve">Voluntary | Board-Level | Approx. 6–8 hours per month</w:t>
            </w:r>
          </w:p>
        </w:tc>
      </w:tr>
    </w:tbl>
    <w:p>
      <w:pPr>
        <w:spacing w:after="200"/>
      </w:pPr>
      <w:r>
        <w:t xml:space="preserve"/>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2500"/>
        <w:gridCol w:w="7246"/>
      </w:tblGrid>
      <w:tr>
        <w:tc>
          <w:tcPr>
            <w:tcW w:type="dxa" w:w="2500"/>
            <w:tcBorders>
              <w:top w:val="none" w:color="FFFFFF" w:sz="0"/>
              <w:left w:val="none" w:color="FFFFFF" w:sz="0"/>
              <w:bottom w:val="none" w:color="FFFFFF" w:sz="0"/>
              <w:right w:val="none" w:color="FFFFFF" w:sz="0"/>
            </w:tcBorders>
            <w:shd w:fill="FFF0F7" w:val="clear"/>
            <w:tcMar>
              <w:top w:type="dxa" w:w="80"/>
              <w:left w:type="dxa" w:w="160"/>
              <w:bottom w:type="dxa" w:w="80"/>
              <w:right w:type="dxa" w:w="120"/>
            </w:tcMar>
          </w:tcPr>
          <w:p>
            <w:r>
              <w:rPr>
                <w:rFonts w:ascii="Arial" w:cs="Arial" w:eastAsia="Arial" w:hAnsi="Arial"/>
                <w:b/>
                <w:bCs/>
                <w:color w:val="FF2E93"/>
                <w:sz w:val="22"/>
                <w:szCs w:val="22"/>
              </w:rPr>
              <w:t xml:space="preserve">Role Title</w:t>
            </w:r>
          </w:p>
        </w:tc>
        <w:tc>
          <w:tcPr>
            <w:tcW w:type="dxa" w:w="6860"/>
            <w:tcBorders>
              <w:top w:val="none" w:color="FFFFFF" w:sz="0"/>
              <w:left w:val="none" w:color="FFFFFF" w:sz="0"/>
              <w:bottom w:val="none" w:color="FFFFFF" w:sz="0"/>
              <w:right w:val="none" w:color="FFFFFF" w:sz="0"/>
            </w:tcBorders>
            <w:shd w:fill="FFF0F7" w:val="clear"/>
            <w:tcMar>
              <w:top w:type="dxa" w:w="80"/>
              <w:left w:type="dxa" w:w="120"/>
              <w:bottom w:type="dxa" w:w="80"/>
              <w:right w:type="dxa" w:w="80"/>
            </w:tcMar>
          </w:tcPr>
          <w:p>
            <w:r>
              <w:rPr>
                <w:rFonts w:ascii="Arial" w:cs="Arial" w:eastAsia="Arial" w:hAnsi="Arial"/>
                <w:color w:val="2D2D2D"/>
                <w:sz w:val="22"/>
                <w:szCs w:val="22"/>
              </w:rPr>
              <w:t xml:space="preserve">Trustee – Human Resources &amp; People Culture</w:t>
            </w:r>
          </w:p>
        </w:tc>
      </w:tr>
      <w:tr>
        <w:tc>
          <w:tcPr>
            <w:tcW w:type="dxa" w:w="2500"/>
            <w:tcBorders>
              <w:top w:val="none" w:color="FFFFFF" w:sz="0"/>
              <w:left w:val="none" w:color="FFFFFF" w:sz="0"/>
              <w:bottom w:val="none" w:color="FFFFFF" w:sz="0"/>
              <w:right w:val="none" w:color="FFFFFF" w:sz="0"/>
            </w:tcBorders>
            <w:shd w:fill="FFF0F7" w:val="clear"/>
            <w:tcMar>
              <w:top w:type="dxa" w:w="80"/>
              <w:left w:type="dxa" w:w="160"/>
              <w:bottom w:type="dxa" w:w="80"/>
              <w:right w:type="dxa" w:w="120"/>
            </w:tcMar>
          </w:tcPr>
          <w:p>
            <w:r>
              <w:rPr>
                <w:rFonts w:ascii="Arial" w:cs="Arial" w:eastAsia="Arial" w:hAnsi="Arial"/>
                <w:b/>
                <w:bCs/>
                <w:color w:val="FF2E93"/>
                <w:sz w:val="22"/>
                <w:szCs w:val="22"/>
              </w:rPr>
              <w:t xml:space="preserve">Organisation</w:t>
            </w:r>
          </w:p>
        </w:tc>
        <w:tc>
          <w:tcPr>
            <w:tcW w:type="dxa" w:w="6860"/>
            <w:tcBorders>
              <w:top w:val="none" w:color="FFFFFF" w:sz="0"/>
              <w:left w:val="none" w:color="FFFFFF" w:sz="0"/>
              <w:bottom w:val="none" w:color="FFFFFF" w:sz="0"/>
              <w:right w:val="none" w:color="FFFFFF" w:sz="0"/>
            </w:tcBorders>
            <w:shd w:fill="FFF0F7" w:val="clear"/>
            <w:tcMar>
              <w:top w:type="dxa" w:w="80"/>
              <w:left w:type="dxa" w:w="120"/>
              <w:bottom w:type="dxa" w:w="80"/>
              <w:right w:type="dxa" w:w="80"/>
            </w:tcMar>
          </w:tcPr>
          <w:p>
            <w:r>
              <w:rPr>
                <w:rFonts w:ascii="Arial" w:cs="Arial" w:eastAsia="Arial" w:hAnsi="Arial"/>
                <w:color w:val="2D2D2D"/>
                <w:sz w:val="22"/>
                <w:szCs w:val="22"/>
              </w:rPr>
              <w:t xml:space="preserve">BelEve UK</w:t>
            </w:r>
          </w:p>
        </w:tc>
      </w:tr>
      <w:tr>
        <w:tc>
          <w:tcPr>
            <w:tcW w:type="dxa" w:w="2500"/>
            <w:tcBorders>
              <w:top w:val="none" w:color="FFFFFF" w:sz="0"/>
              <w:left w:val="none" w:color="FFFFFF" w:sz="0"/>
              <w:bottom w:val="none" w:color="FFFFFF" w:sz="0"/>
              <w:right w:val="none" w:color="FFFFFF" w:sz="0"/>
            </w:tcBorders>
            <w:shd w:fill="FFF0F7" w:val="clear"/>
            <w:tcMar>
              <w:top w:type="dxa" w:w="80"/>
              <w:left w:type="dxa" w:w="160"/>
              <w:bottom w:type="dxa" w:w="80"/>
              <w:right w:type="dxa" w:w="120"/>
            </w:tcMar>
          </w:tcPr>
          <w:p>
            <w:r>
              <w:rPr>
                <w:rFonts w:ascii="Arial" w:cs="Arial" w:eastAsia="Arial" w:hAnsi="Arial"/>
                <w:b/>
                <w:bCs/>
                <w:color w:val="FF2E93"/>
                <w:sz w:val="22"/>
                <w:szCs w:val="22"/>
              </w:rPr>
              <w:t xml:space="preserve">Commitment</w:t>
            </w:r>
          </w:p>
        </w:tc>
        <w:tc>
          <w:tcPr>
            <w:tcW w:type="dxa" w:w="6860"/>
            <w:tcBorders>
              <w:top w:val="none" w:color="FFFFFF" w:sz="0"/>
              <w:left w:val="none" w:color="FFFFFF" w:sz="0"/>
              <w:bottom w:val="none" w:color="FFFFFF" w:sz="0"/>
              <w:right w:val="none" w:color="FFFFFF" w:sz="0"/>
            </w:tcBorders>
            <w:shd w:fill="FFF0F7" w:val="clear"/>
            <w:tcMar>
              <w:top w:type="dxa" w:w="80"/>
              <w:left w:type="dxa" w:w="120"/>
              <w:bottom w:type="dxa" w:w="80"/>
              <w:right w:type="dxa" w:w="80"/>
            </w:tcMar>
          </w:tcPr>
          <w:p>
            <w:r>
              <w:rPr>
                <w:rFonts w:ascii="Arial" w:cs="Arial" w:eastAsia="Arial" w:hAnsi="Arial"/>
                <w:color w:val="2D2D2D"/>
                <w:sz w:val="22"/>
                <w:szCs w:val="22"/>
              </w:rPr>
              <w:t xml:space="preserve">6–8 hours per month</w:t>
            </w:r>
          </w:p>
        </w:tc>
      </w:tr>
      <w:tr>
        <w:tc>
          <w:tcPr>
            <w:tcW w:type="dxa" w:w="2500"/>
            <w:tcBorders>
              <w:top w:val="none" w:color="FFFFFF" w:sz="0"/>
              <w:left w:val="none" w:color="FFFFFF" w:sz="0"/>
              <w:bottom w:val="none" w:color="FFFFFF" w:sz="0"/>
              <w:right w:val="none" w:color="FFFFFF" w:sz="0"/>
            </w:tcBorders>
            <w:shd w:fill="FFF0F7" w:val="clear"/>
            <w:tcMar>
              <w:top w:type="dxa" w:w="80"/>
              <w:left w:type="dxa" w:w="160"/>
              <w:bottom w:type="dxa" w:w="80"/>
              <w:right w:type="dxa" w:w="120"/>
            </w:tcMar>
          </w:tcPr>
          <w:p>
            <w:r>
              <w:rPr>
                <w:rFonts w:ascii="Arial" w:cs="Arial" w:eastAsia="Arial" w:hAnsi="Arial"/>
                <w:b/>
                <w:bCs/>
                <w:color w:val="FF2E93"/>
                <w:sz w:val="22"/>
                <w:szCs w:val="22"/>
              </w:rPr>
              <w:t xml:space="preserve">Term</w:t>
            </w:r>
          </w:p>
        </w:tc>
        <w:tc>
          <w:tcPr>
            <w:tcW w:type="dxa" w:w="6860"/>
            <w:tcBorders>
              <w:top w:val="none" w:color="FFFFFF" w:sz="0"/>
              <w:left w:val="none" w:color="FFFFFF" w:sz="0"/>
              <w:bottom w:val="none" w:color="FFFFFF" w:sz="0"/>
              <w:right w:val="none" w:color="FFFFFF" w:sz="0"/>
            </w:tcBorders>
            <w:shd w:fill="FFF0F7" w:val="clear"/>
            <w:tcMar>
              <w:top w:type="dxa" w:w="80"/>
              <w:left w:type="dxa" w:w="120"/>
              <w:bottom w:type="dxa" w:w="80"/>
              <w:right w:type="dxa" w:w="80"/>
            </w:tcMar>
          </w:tcPr>
          <w:p>
            <w:r>
              <w:rPr>
                <w:rFonts w:ascii="Arial" w:cs="Arial" w:eastAsia="Arial" w:hAnsi="Arial"/>
                <w:color w:val="2D2D2D"/>
                <w:sz w:val="22"/>
                <w:szCs w:val="22"/>
              </w:rPr>
              <w:t xml:space="preserve">Initial three-year term (renewable)</w:t>
            </w:r>
          </w:p>
        </w:tc>
      </w:tr>
      <w:tr>
        <w:tc>
          <w:tcPr>
            <w:tcW w:type="dxa" w:w="2500"/>
            <w:tcBorders>
              <w:top w:val="none" w:color="FFFFFF" w:sz="0"/>
              <w:left w:val="none" w:color="FFFFFF" w:sz="0"/>
              <w:bottom w:val="none" w:color="FFFFFF" w:sz="0"/>
              <w:right w:val="none" w:color="FFFFFF" w:sz="0"/>
            </w:tcBorders>
            <w:shd w:fill="FFF0F7" w:val="clear"/>
            <w:tcMar>
              <w:top w:type="dxa" w:w="80"/>
              <w:left w:type="dxa" w:w="160"/>
              <w:bottom w:type="dxa" w:w="80"/>
              <w:right w:type="dxa" w:w="120"/>
            </w:tcMar>
          </w:tcPr>
          <w:p>
            <w:r>
              <w:rPr>
                <w:rFonts w:ascii="Arial" w:cs="Arial" w:eastAsia="Arial" w:hAnsi="Arial"/>
                <w:b/>
                <w:bCs/>
                <w:color w:val="FF2E93"/>
                <w:sz w:val="22"/>
                <w:szCs w:val="22"/>
              </w:rPr>
              <w:t xml:space="preserve">Remuneration</w:t>
            </w:r>
          </w:p>
        </w:tc>
        <w:tc>
          <w:tcPr>
            <w:tcW w:type="dxa" w:w="6860"/>
            <w:tcBorders>
              <w:top w:val="none" w:color="FFFFFF" w:sz="0"/>
              <w:left w:val="none" w:color="FFFFFF" w:sz="0"/>
              <w:bottom w:val="none" w:color="FFFFFF" w:sz="0"/>
              <w:right w:val="none" w:color="FFFFFF" w:sz="0"/>
            </w:tcBorders>
            <w:shd w:fill="FFF0F7" w:val="clear"/>
            <w:tcMar>
              <w:top w:type="dxa" w:w="80"/>
              <w:left w:type="dxa" w:w="120"/>
              <w:bottom w:type="dxa" w:w="80"/>
              <w:right w:type="dxa" w:w="80"/>
            </w:tcMar>
          </w:tcPr>
          <w:p>
            <w:r>
              <w:rPr>
                <w:rFonts w:ascii="Arial" w:cs="Arial" w:eastAsia="Arial" w:hAnsi="Arial"/>
                <w:color w:val="2D2D2D"/>
                <w:sz w:val="22"/>
                <w:szCs w:val="22"/>
              </w:rPr>
              <w:t xml:space="preserve">Voluntary (expenses reimbursed)</w:t>
            </w:r>
          </w:p>
        </w:tc>
      </w:tr>
    </w:tbl>
    <w:p>
      <w:pPr>
        <w:spacing w:after="200"/>
      </w:pPr>
      <w:r>
        <w:t xml:space="preserve"/>
      </w:r>
    </w:p>
    <w:p>
      <w:pPr>
        <w:pBdr>
          <w:bottom w:val="single" w:color="FF2E93" w:sz="6" w:space="4"/>
        </w:pBdr>
        <w:spacing w:after="120" w:before="300"/>
      </w:pPr>
      <w:r>
        <w:rPr>
          <w:rFonts w:ascii="Arial" w:cs="Arial" w:eastAsia="Arial" w:hAnsi="Arial"/>
          <w:b/>
          <w:bCs/>
          <w:color w:val="FF2E93"/>
          <w:sz w:val="26"/>
          <w:szCs w:val="26"/>
        </w:rPr>
        <w:t xml:space="preserve">About BelEve</w:t>
      </w:r>
    </w:p>
    <w:p>
      <w:pPr>
        <w:spacing w:after="140"/>
      </w:pPr>
      <w:r>
        <w:rPr>
          <w:rFonts w:ascii="Arial" w:cs="Arial" w:eastAsia="Arial" w:hAnsi="Arial"/>
          <w:b w:val="false"/>
          <w:bCs w:val="false"/>
          <w:i w:val="false"/>
          <w:iCs w:val="false"/>
          <w:color w:val="2D2D2D"/>
          <w:sz w:val="22"/>
          <w:szCs w:val="22"/>
        </w:rPr>
        <w:t xml:space="preserve">BelEve is an award-winning girls' charity committed to inspiring the next generation of female leaders. For over 14 years, BelEve has supported girls and young women aged 8–22 through mentoring, leadership development, emotional wellbeing support, employability pathways, and community programmes.</w:t>
      </w:r>
    </w:p>
    <w:p>
      <w:pPr>
        <w:spacing w:after="140"/>
      </w:pPr>
      <w:r>
        <w:rPr>
          <w:rFonts w:ascii="Arial" w:cs="Arial" w:eastAsia="Arial" w:hAnsi="Arial"/>
          <w:b w:val="false"/>
          <w:bCs w:val="false"/>
          <w:i w:val="false"/>
          <w:iCs w:val="false"/>
          <w:color w:val="2D2D2D"/>
          <w:sz w:val="22"/>
          <w:szCs w:val="22"/>
        </w:rPr>
        <w:t xml:space="preserve">BelEve is now entering a new strategic chapter centred around its Readiness Vision:</w:t>
      </w:r>
    </w:p>
    <w:p>
      <w:pPr>
        <w:pBdr>
          <w:left w:val="single" w:color="FF2E93" w:sz="12" w:space="10"/>
        </w:pBdr>
        <w:spacing w:after="160" w:before="160"/>
        <w:ind w:left="720" w:right="720"/>
      </w:pPr>
      <w:r>
        <w:rPr>
          <w:rFonts w:ascii="Arial" w:cs="Arial" w:eastAsia="Arial" w:hAnsi="Arial"/>
          <w:i/>
          <w:iCs/>
          <w:color w:val="FF2E93"/>
          <w:sz w:val="23"/>
          <w:szCs w:val="23"/>
        </w:rPr>
        <w:t xml:space="preserve">"Confidence may open the door, but readiness enables girls and young women to walk into spaces, thrive within them, and lead."</w:t>
      </w:r>
    </w:p>
    <w:p>
      <w:pPr>
        <w:spacing w:after="140"/>
      </w:pPr>
      <w:r>
        <w:rPr>
          <w:rFonts w:ascii="Arial" w:cs="Arial" w:eastAsia="Arial" w:hAnsi="Arial"/>
          <w:b w:val="false"/>
          <w:bCs w:val="false"/>
          <w:i w:val="false"/>
          <w:iCs w:val="false"/>
          <w:color w:val="2D2D2D"/>
          <w:sz w:val="22"/>
          <w:szCs w:val="22"/>
        </w:rPr>
        <w:t xml:space="preserve">Our work focuses on supporting girls to develop across five core readiness domains:</w:t>
      </w:r>
    </w:p>
    <w:p>
      <w:pPr>
        <w:pStyle w:val="ListParagraph"/>
        <w:numPr>
          <w:ilvl w:val="0"/>
          <w:numId w:val="2"/>
        </w:numPr>
        <w:spacing w:after="80"/>
      </w:pPr>
      <w:r>
        <w:rPr>
          <w:rFonts w:ascii="Arial" w:cs="Arial" w:eastAsia="Arial" w:hAnsi="Arial"/>
          <w:color w:val="2D2D2D"/>
          <w:sz w:val="22"/>
          <w:szCs w:val="22"/>
        </w:rPr>
        <w:t xml:space="preserve">Emotional Readiness</w:t>
      </w:r>
    </w:p>
    <w:p>
      <w:pPr>
        <w:pStyle w:val="ListParagraph"/>
        <w:numPr>
          <w:ilvl w:val="0"/>
          <w:numId w:val="2"/>
        </w:numPr>
        <w:spacing w:after="80"/>
      </w:pPr>
      <w:r>
        <w:rPr>
          <w:rFonts w:ascii="Arial" w:cs="Arial" w:eastAsia="Arial" w:hAnsi="Arial"/>
          <w:color w:val="2D2D2D"/>
          <w:sz w:val="22"/>
          <w:szCs w:val="22"/>
        </w:rPr>
        <w:t xml:space="preserve">Communication &amp; Self-Advocacy</w:t>
      </w:r>
    </w:p>
    <w:p>
      <w:pPr>
        <w:pStyle w:val="ListParagraph"/>
        <w:numPr>
          <w:ilvl w:val="0"/>
          <w:numId w:val="2"/>
        </w:numPr>
        <w:spacing w:after="80"/>
      </w:pPr>
      <w:r>
        <w:rPr>
          <w:rFonts w:ascii="Arial" w:cs="Arial" w:eastAsia="Arial" w:hAnsi="Arial"/>
          <w:color w:val="2D2D2D"/>
          <w:sz w:val="22"/>
          <w:szCs w:val="22"/>
        </w:rPr>
        <w:t xml:space="preserve">Social &amp; Relational Readiness</w:t>
      </w:r>
    </w:p>
    <w:p>
      <w:pPr>
        <w:pStyle w:val="ListParagraph"/>
        <w:numPr>
          <w:ilvl w:val="0"/>
          <w:numId w:val="2"/>
        </w:numPr>
        <w:spacing w:after="80"/>
      </w:pPr>
      <w:r>
        <w:rPr>
          <w:rFonts w:ascii="Arial" w:cs="Arial" w:eastAsia="Arial" w:hAnsi="Arial"/>
          <w:color w:val="2D2D2D"/>
          <w:sz w:val="22"/>
          <w:szCs w:val="22"/>
        </w:rPr>
        <w:t xml:space="preserve">Learning &amp; Independence Readiness</w:t>
      </w:r>
    </w:p>
    <w:p>
      <w:pPr>
        <w:pStyle w:val="ListParagraph"/>
        <w:numPr>
          <w:ilvl w:val="0"/>
          <w:numId w:val="2"/>
        </w:numPr>
        <w:spacing w:after="80"/>
      </w:pPr>
      <w:r>
        <w:rPr>
          <w:rFonts w:ascii="Arial" w:cs="Arial" w:eastAsia="Arial" w:hAnsi="Arial"/>
          <w:color w:val="2D2D2D"/>
          <w:sz w:val="22"/>
          <w:szCs w:val="22"/>
        </w:rPr>
        <w:t xml:space="preserve">Identity, Agency &amp; Future Readiness</w:t>
      </w:r>
    </w:p>
    <w:p>
      <w:pPr>
        <w:spacing w:after="120"/>
      </w:pPr>
      <w:r>
        <w:t xml:space="preserve"/>
      </w:r>
    </w:p>
    <w:p>
      <w:pPr>
        <w:spacing w:after="140"/>
      </w:pPr>
      <w:r>
        <w:rPr>
          <w:rFonts w:ascii="Arial" w:cs="Arial" w:eastAsia="Arial" w:hAnsi="Arial"/>
          <w:b w:val="false"/>
          <w:bCs w:val="false"/>
          <w:i w:val="false"/>
          <w:iCs w:val="false"/>
          <w:color w:val="2D2D2D"/>
          <w:sz w:val="22"/>
          <w:szCs w:val="22"/>
        </w:rPr>
        <w:t xml:space="preserve">As we scale our impact and strengthen our organisational infrastructure, we are seeking an experienced and values-driven HR Trustee to support the development of a high-performing, inclusive, psychologically safe, and mission-aligned organisation.</w:t>
      </w:r>
    </w:p>
    <w:p>
      <w:pPr>
        <w:pBdr>
          <w:bottom w:val="single" w:color="FF2E93" w:sz="6" w:space="4"/>
        </w:pBdr>
        <w:spacing w:after="120" w:before="300"/>
      </w:pPr>
      <w:r>
        <w:rPr>
          <w:rFonts w:ascii="Arial" w:cs="Arial" w:eastAsia="Arial" w:hAnsi="Arial"/>
          <w:b/>
          <w:bCs/>
          <w:color w:val="FF2E93"/>
          <w:sz w:val="26"/>
          <w:szCs w:val="26"/>
        </w:rPr>
        <w:t xml:space="preserve">Purpose of the Role</w:t>
      </w:r>
    </w:p>
    <w:p>
      <w:pPr>
        <w:spacing w:after="140"/>
      </w:pPr>
      <w:r>
        <w:rPr>
          <w:rFonts w:ascii="Arial" w:cs="Arial" w:eastAsia="Arial" w:hAnsi="Arial"/>
          <w:b w:val="false"/>
          <w:bCs w:val="false"/>
          <w:i w:val="false"/>
          <w:iCs w:val="false"/>
          <w:color w:val="2D2D2D"/>
          <w:sz w:val="22"/>
          <w:szCs w:val="22"/>
        </w:rPr>
        <w:t xml:space="preserve">The HR Trustee will provide strategic oversight, guidance, and challenge on all matters relating to people, culture, organisational development, leadership capability, and workforce wellbeing.</w:t>
      </w:r>
    </w:p>
    <w:p>
      <w:pPr>
        <w:spacing w:after="140"/>
      </w:pPr>
      <w:r>
        <w:rPr>
          <w:rFonts w:ascii="Arial" w:cs="Arial" w:eastAsia="Arial" w:hAnsi="Arial"/>
          <w:b w:val="false"/>
          <w:bCs w:val="false"/>
          <w:i w:val="false"/>
          <w:iCs w:val="false"/>
          <w:color w:val="2D2D2D"/>
          <w:sz w:val="22"/>
          <w:szCs w:val="22"/>
        </w:rPr>
        <w:t xml:space="preserve">The postholder will support BelEve in building a sustainable and inclusive organisational culture that reflects its mission, values, safeguarding responsibilities, and readiness-led approach. This role is particularly important as BelEve continues to evolve its organisational structure, strengthen leadership accountability, and develop systems that enable both staff and young women to thrive.</w:t>
      </w:r>
    </w:p>
    <w:p>
      <w:pPr>
        <w:spacing w:after="140"/>
      </w:pPr>
      <w:r>
        <w:rPr>
          <w:rFonts w:ascii="Arial" w:cs="Arial" w:eastAsia="Arial" w:hAnsi="Arial"/>
          <w:b w:val="false"/>
          <w:bCs w:val="false"/>
          <w:i w:val="false"/>
          <w:iCs w:val="false"/>
          <w:color w:val="2D2D2D"/>
          <w:sz w:val="22"/>
          <w:szCs w:val="22"/>
        </w:rPr>
        <w:t xml:space="preserve">The HR Trustee will act as a critical friend to the CEO and Board on:</w:t>
      </w:r>
    </w:p>
    <w:p>
      <w:pPr>
        <w:pStyle w:val="ListParagraph"/>
        <w:numPr>
          <w:ilvl w:val="0"/>
          <w:numId w:val="2"/>
        </w:numPr>
        <w:spacing w:after="80"/>
      </w:pPr>
      <w:r>
        <w:rPr>
          <w:rFonts w:ascii="Arial" w:cs="Arial" w:eastAsia="Arial" w:hAnsi="Arial"/>
          <w:color w:val="2D2D2D"/>
          <w:sz w:val="22"/>
          <w:szCs w:val="22"/>
        </w:rPr>
        <w:t xml:space="preserve">People strategy</w:t>
      </w:r>
    </w:p>
    <w:p>
      <w:pPr>
        <w:pStyle w:val="ListParagraph"/>
        <w:numPr>
          <w:ilvl w:val="0"/>
          <w:numId w:val="2"/>
        </w:numPr>
        <w:spacing w:after="80"/>
      </w:pPr>
      <w:r>
        <w:rPr>
          <w:rFonts w:ascii="Arial" w:cs="Arial" w:eastAsia="Arial" w:hAnsi="Arial"/>
          <w:color w:val="2D2D2D"/>
          <w:sz w:val="22"/>
          <w:szCs w:val="22"/>
        </w:rPr>
        <w:t xml:space="preserve">Organisational culture</w:t>
      </w:r>
    </w:p>
    <w:p>
      <w:pPr>
        <w:pStyle w:val="ListParagraph"/>
        <w:numPr>
          <w:ilvl w:val="0"/>
          <w:numId w:val="2"/>
        </w:numPr>
        <w:spacing w:after="80"/>
      </w:pPr>
      <w:r>
        <w:rPr>
          <w:rFonts w:ascii="Arial" w:cs="Arial" w:eastAsia="Arial" w:hAnsi="Arial"/>
          <w:color w:val="2D2D2D"/>
          <w:sz w:val="22"/>
          <w:szCs w:val="22"/>
        </w:rPr>
        <w:t xml:space="preserve">Leadership development</w:t>
      </w:r>
    </w:p>
    <w:p>
      <w:pPr>
        <w:pStyle w:val="ListParagraph"/>
        <w:numPr>
          <w:ilvl w:val="0"/>
          <w:numId w:val="2"/>
        </w:numPr>
        <w:spacing w:after="80"/>
      </w:pPr>
      <w:r>
        <w:rPr>
          <w:rFonts w:ascii="Arial" w:cs="Arial" w:eastAsia="Arial" w:hAnsi="Arial"/>
          <w:color w:val="2D2D2D"/>
          <w:sz w:val="22"/>
          <w:szCs w:val="22"/>
        </w:rPr>
        <w:t xml:space="preserve">Workforce wellbeing</w:t>
      </w:r>
    </w:p>
    <w:p>
      <w:pPr>
        <w:pStyle w:val="ListParagraph"/>
        <w:numPr>
          <w:ilvl w:val="0"/>
          <w:numId w:val="2"/>
        </w:numPr>
        <w:spacing w:after="80"/>
      </w:pPr>
      <w:r>
        <w:rPr>
          <w:rFonts w:ascii="Arial" w:cs="Arial" w:eastAsia="Arial" w:hAnsi="Arial"/>
          <w:color w:val="2D2D2D"/>
          <w:sz w:val="22"/>
          <w:szCs w:val="22"/>
        </w:rPr>
        <w:t xml:space="preserve">Governance and HR compliance</w:t>
      </w:r>
    </w:p>
    <w:p>
      <w:pPr>
        <w:pStyle w:val="ListParagraph"/>
        <w:numPr>
          <w:ilvl w:val="0"/>
          <w:numId w:val="2"/>
        </w:numPr>
        <w:spacing w:after="80"/>
      </w:pPr>
      <w:r>
        <w:rPr>
          <w:rFonts w:ascii="Arial" w:cs="Arial" w:eastAsia="Arial" w:hAnsi="Arial"/>
          <w:color w:val="2D2D2D"/>
          <w:sz w:val="22"/>
          <w:szCs w:val="22"/>
        </w:rPr>
        <w:t xml:space="preserve">Equity, diversity and inclusion</w:t>
      </w:r>
    </w:p>
    <w:p>
      <w:pPr>
        <w:pStyle w:val="ListParagraph"/>
        <w:numPr>
          <w:ilvl w:val="0"/>
          <w:numId w:val="2"/>
        </w:numPr>
        <w:spacing w:after="80"/>
      </w:pPr>
      <w:r>
        <w:rPr>
          <w:rFonts w:ascii="Arial" w:cs="Arial" w:eastAsia="Arial" w:hAnsi="Arial"/>
          <w:color w:val="2D2D2D"/>
          <w:sz w:val="22"/>
          <w:szCs w:val="22"/>
        </w:rPr>
        <w:t xml:space="preserve">Performance and accountability frameworks</w:t>
      </w:r>
    </w:p>
    <w:p>
      <w:pPr>
        <w:pBdr>
          <w:bottom w:val="single" w:color="FF2E93" w:sz="6" w:space="4"/>
        </w:pBdr>
        <w:spacing w:after="120" w:before="300"/>
      </w:pPr>
      <w:r>
        <w:rPr>
          <w:rFonts w:ascii="Arial" w:cs="Arial" w:eastAsia="Arial" w:hAnsi="Arial"/>
          <w:b/>
          <w:bCs/>
          <w:color w:val="FF2E93"/>
          <w:sz w:val="26"/>
          <w:szCs w:val="26"/>
        </w:rPr>
        <w:t xml:space="preserve">Key Responsibilities</w:t>
      </w:r>
    </w:p>
    <w:p>
      <w:pPr>
        <w:spacing w:after="80" w:before="240"/>
      </w:pPr>
      <w:r>
        <w:rPr>
          <w:rFonts w:ascii="Arial" w:cs="Arial" w:eastAsia="Arial" w:hAnsi="Arial"/>
          <w:b/>
          <w:bCs/>
          <w:color w:val="FF6A3D"/>
          <w:sz w:val="22"/>
          <w:szCs w:val="22"/>
        </w:rPr>
        <w:t xml:space="preserve">Strategic People Leadership</w:t>
      </w:r>
    </w:p>
    <w:p>
      <w:pPr>
        <w:pStyle w:val="ListParagraph"/>
        <w:numPr>
          <w:ilvl w:val="0"/>
          <w:numId w:val="2"/>
        </w:numPr>
        <w:spacing w:after="80"/>
      </w:pPr>
      <w:r>
        <w:rPr>
          <w:rFonts w:ascii="Arial" w:cs="Arial" w:eastAsia="Arial" w:hAnsi="Arial"/>
          <w:color w:val="2D2D2D"/>
          <w:sz w:val="22"/>
          <w:szCs w:val="22"/>
        </w:rPr>
        <w:t xml:space="preserve">Support the development and oversight of BelEve's People &amp; Culture strategy.</w:t>
      </w:r>
    </w:p>
    <w:p>
      <w:pPr>
        <w:pStyle w:val="ListParagraph"/>
        <w:numPr>
          <w:ilvl w:val="0"/>
          <w:numId w:val="2"/>
        </w:numPr>
        <w:spacing w:after="80"/>
      </w:pPr>
      <w:r>
        <w:rPr>
          <w:rFonts w:ascii="Arial" w:cs="Arial" w:eastAsia="Arial" w:hAnsi="Arial"/>
          <w:color w:val="2D2D2D"/>
          <w:sz w:val="22"/>
          <w:szCs w:val="22"/>
        </w:rPr>
        <w:t xml:space="preserve">Advise on organisational design, workforce planning, succession planning, and leadership development.</w:t>
      </w:r>
    </w:p>
    <w:p>
      <w:pPr>
        <w:pStyle w:val="ListParagraph"/>
        <w:numPr>
          <w:ilvl w:val="0"/>
          <w:numId w:val="2"/>
        </w:numPr>
        <w:spacing w:after="80"/>
      </w:pPr>
      <w:r>
        <w:rPr>
          <w:rFonts w:ascii="Arial" w:cs="Arial" w:eastAsia="Arial" w:hAnsi="Arial"/>
          <w:color w:val="2D2D2D"/>
          <w:sz w:val="22"/>
          <w:szCs w:val="22"/>
        </w:rPr>
        <w:t xml:space="preserve">Support the embedding of a high-performance culture aligned to BelEve's values and readiness vision.</w:t>
      </w:r>
    </w:p>
    <w:p>
      <w:pPr>
        <w:pStyle w:val="ListParagraph"/>
        <w:numPr>
          <w:ilvl w:val="0"/>
          <w:numId w:val="2"/>
        </w:numPr>
        <w:spacing w:after="80"/>
      </w:pPr>
      <w:r>
        <w:rPr>
          <w:rFonts w:ascii="Arial" w:cs="Arial" w:eastAsia="Arial" w:hAnsi="Arial"/>
          <w:color w:val="2D2D2D"/>
          <w:sz w:val="22"/>
          <w:szCs w:val="22"/>
        </w:rPr>
        <w:t xml:space="preserve">Contribute to strategic discussions regarding organisational sustainability and growth.</w:t>
      </w:r>
    </w:p>
    <w:p>
      <w:pPr>
        <w:spacing w:after="80"/>
      </w:pPr>
      <w:r>
        <w:t xml:space="preserve"/>
      </w:r>
    </w:p>
    <w:p>
      <w:pPr>
        <w:spacing w:after="80" w:before="240"/>
      </w:pPr>
      <w:r>
        <w:rPr>
          <w:rFonts w:ascii="Arial" w:cs="Arial" w:eastAsia="Arial" w:hAnsi="Arial"/>
          <w:b/>
          <w:bCs/>
          <w:color w:val="FF6A3D"/>
          <w:sz w:val="22"/>
          <w:szCs w:val="22"/>
        </w:rPr>
        <w:t xml:space="preserve">Governance &amp; Compliance</w:t>
      </w:r>
    </w:p>
    <w:p>
      <w:pPr>
        <w:pStyle w:val="ListParagraph"/>
        <w:numPr>
          <w:ilvl w:val="0"/>
          <w:numId w:val="2"/>
        </w:numPr>
        <w:spacing w:after="80"/>
      </w:pPr>
      <w:r>
        <w:rPr>
          <w:rFonts w:ascii="Arial" w:cs="Arial" w:eastAsia="Arial" w:hAnsi="Arial"/>
          <w:color w:val="2D2D2D"/>
          <w:sz w:val="22"/>
          <w:szCs w:val="22"/>
        </w:rPr>
        <w:t xml:space="preserve">Ensure appropriate HR governance, policies, procedures, and employment practices are in place.</w:t>
      </w:r>
    </w:p>
    <w:p>
      <w:pPr>
        <w:pStyle w:val="ListParagraph"/>
        <w:numPr>
          <w:ilvl w:val="0"/>
          <w:numId w:val="2"/>
        </w:numPr>
        <w:spacing w:after="80"/>
      </w:pPr>
      <w:r>
        <w:rPr>
          <w:rFonts w:ascii="Arial" w:cs="Arial" w:eastAsia="Arial" w:hAnsi="Arial"/>
          <w:color w:val="2D2D2D"/>
          <w:sz w:val="22"/>
          <w:szCs w:val="22"/>
        </w:rPr>
        <w:t xml:space="preserve">Support the Board in overseeing organisational compliance with employment legislation, safeguarding responsibilities, and best practice.</w:t>
      </w:r>
    </w:p>
    <w:p>
      <w:pPr>
        <w:pStyle w:val="ListParagraph"/>
        <w:numPr>
          <w:ilvl w:val="0"/>
          <w:numId w:val="2"/>
        </w:numPr>
        <w:spacing w:after="80"/>
      </w:pPr>
      <w:r>
        <w:rPr>
          <w:rFonts w:ascii="Arial" w:cs="Arial" w:eastAsia="Arial" w:hAnsi="Arial"/>
          <w:color w:val="2D2D2D"/>
          <w:sz w:val="22"/>
          <w:szCs w:val="22"/>
        </w:rPr>
        <w:t xml:space="preserve">Provide strategic oversight on organisational risk relating to people and culture.</w:t>
      </w:r>
    </w:p>
    <w:p>
      <w:pPr>
        <w:spacing w:after="80"/>
      </w:pPr>
      <w:r>
        <w:t xml:space="preserve"/>
      </w:r>
    </w:p>
    <w:p>
      <w:pPr>
        <w:spacing w:after="80" w:before="240"/>
      </w:pPr>
      <w:r>
        <w:rPr>
          <w:rFonts w:ascii="Arial" w:cs="Arial" w:eastAsia="Arial" w:hAnsi="Arial"/>
          <w:b/>
          <w:bCs/>
          <w:color w:val="FF6A3D"/>
          <w:sz w:val="22"/>
          <w:szCs w:val="22"/>
        </w:rPr>
        <w:t xml:space="preserve">Culture &amp; Wellbeing</w:t>
      </w:r>
    </w:p>
    <w:p>
      <w:pPr>
        <w:pStyle w:val="ListParagraph"/>
        <w:numPr>
          <w:ilvl w:val="0"/>
          <w:numId w:val="2"/>
        </w:numPr>
        <w:spacing w:after="80"/>
      </w:pPr>
      <w:r>
        <w:rPr>
          <w:rFonts w:ascii="Arial" w:cs="Arial" w:eastAsia="Arial" w:hAnsi="Arial"/>
          <w:color w:val="2D2D2D"/>
          <w:sz w:val="22"/>
          <w:szCs w:val="22"/>
        </w:rPr>
        <w:t xml:space="preserve">Champion a psychologically safe, inclusive, and empowering working culture.</w:t>
      </w:r>
    </w:p>
    <w:p>
      <w:pPr>
        <w:pStyle w:val="ListParagraph"/>
        <w:numPr>
          <w:ilvl w:val="0"/>
          <w:numId w:val="2"/>
        </w:numPr>
        <w:spacing w:after="80"/>
      </w:pPr>
      <w:r>
        <w:rPr>
          <w:rFonts w:ascii="Arial" w:cs="Arial" w:eastAsia="Arial" w:hAnsi="Arial"/>
          <w:color w:val="2D2D2D"/>
          <w:sz w:val="22"/>
          <w:szCs w:val="22"/>
        </w:rPr>
        <w:t xml:space="preserve">Support BelEve in strengthening staff wellbeing, engagement, accountability, and retention.</w:t>
      </w:r>
    </w:p>
    <w:p>
      <w:pPr>
        <w:pStyle w:val="ListParagraph"/>
        <w:numPr>
          <w:ilvl w:val="0"/>
          <w:numId w:val="2"/>
        </w:numPr>
        <w:spacing w:after="80"/>
      </w:pPr>
      <w:r>
        <w:rPr>
          <w:rFonts w:ascii="Arial" w:cs="Arial" w:eastAsia="Arial" w:hAnsi="Arial"/>
          <w:color w:val="2D2D2D"/>
          <w:sz w:val="22"/>
          <w:szCs w:val="22"/>
        </w:rPr>
        <w:t xml:space="preserve">Encourage approaches that promote belonging, leadership growth, and healthy workplace dynamics.</w:t>
      </w:r>
    </w:p>
    <w:p>
      <w:pPr>
        <w:spacing w:after="80"/>
      </w:pPr>
      <w:r>
        <w:t xml:space="preserve"/>
      </w:r>
    </w:p>
    <w:p>
      <w:pPr>
        <w:spacing w:after="80" w:before="240"/>
      </w:pPr>
      <w:r>
        <w:rPr>
          <w:rFonts w:ascii="Arial" w:cs="Arial" w:eastAsia="Arial" w:hAnsi="Arial"/>
          <w:b/>
          <w:bCs/>
          <w:color w:val="FF6A3D"/>
          <w:sz w:val="22"/>
          <w:szCs w:val="22"/>
        </w:rPr>
        <w:t xml:space="preserve">Equity, Diversity &amp; Inclusion</w:t>
      </w:r>
    </w:p>
    <w:p>
      <w:pPr>
        <w:pStyle w:val="ListParagraph"/>
        <w:numPr>
          <w:ilvl w:val="0"/>
          <w:numId w:val="2"/>
        </w:numPr>
        <w:spacing w:after="80"/>
      </w:pPr>
      <w:r>
        <w:rPr>
          <w:rFonts w:ascii="Arial" w:cs="Arial" w:eastAsia="Arial" w:hAnsi="Arial"/>
          <w:color w:val="2D2D2D"/>
          <w:sz w:val="22"/>
          <w:szCs w:val="22"/>
        </w:rPr>
        <w:t xml:space="preserve">Support BelEve in embedding equity, diversity, inclusion, and anti-discriminatory practice across the organisation.</w:t>
      </w:r>
    </w:p>
    <w:p>
      <w:pPr>
        <w:pStyle w:val="ListParagraph"/>
        <w:numPr>
          <w:ilvl w:val="0"/>
          <w:numId w:val="2"/>
        </w:numPr>
        <w:spacing w:after="80"/>
      </w:pPr>
      <w:r>
        <w:rPr>
          <w:rFonts w:ascii="Arial" w:cs="Arial" w:eastAsia="Arial" w:hAnsi="Arial"/>
          <w:color w:val="2D2D2D"/>
          <w:sz w:val="22"/>
          <w:szCs w:val="22"/>
        </w:rPr>
        <w:t xml:space="preserve">Ensure organisational culture reflects the lived realities and aspirations of the communities BelEve serves.</w:t>
      </w:r>
    </w:p>
    <w:p>
      <w:pPr>
        <w:spacing w:after="80"/>
      </w:pPr>
      <w:r>
        <w:t xml:space="preserve"/>
      </w:r>
    </w:p>
    <w:p>
      <w:pPr>
        <w:spacing w:after="80" w:before="240"/>
      </w:pPr>
      <w:r>
        <w:rPr>
          <w:rFonts w:ascii="Arial" w:cs="Arial" w:eastAsia="Arial" w:hAnsi="Arial"/>
          <w:b/>
          <w:bCs/>
          <w:color w:val="FF6A3D"/>
          <w:sz w:val="22"/>
          <w:szCs w:val="22"/>
        </w:rPr>
        <w:t xml:space="preserve">Performance &amp; Leadership Development</w:t>
      </w:r>
    </w:p>
    <w:p>
      <w:pPr>
        <w:pStyle w:val="ListParagraph"/>
        <w:numPr>
          <w:ilvl w:val="0"/>
          <w:numId w:val="2"/>
        </w:numPr>
        <w:spacing w:after="80"/>
      </w:pPr>
      <w:r>
        <w:rPr>
          <w:rFonts w:ascii="Arial" w:cs="Arial" w:eastAsia="Arial" w:hAnsi="Arial"/>
          <w:color w:val="2D2D2D"/>
          <w:sz w:val="22"/>
          <w:szCs w:val="22"/>
        </w:rPr>
        <w:t xml:space="preserve">Advise on performance management frameworks, leadership capability, and professional development structures.</w:t>
      </w:r>
    </w:p>
    <w:p>
      <w:pPr>
        <w:pStyle w:val="ListParagraph"/>
        <w:numPr>
          <w:ilvl w:val="0"/>
          <w:numId w:val="2"/>
        </w:numPr>
        <w:spacing w:after="80"/>
      </w:pPr>
      <w:r>
        <w:rPr>
          <w:rFonts w:ascii="Arial" w:cs="Arial" w:eastAsia="Arial" w:hAnsi="Arial"/>
          <w:color w:val="2D2D2D"/>
          <w:sz w:val="22"/>
          <w:szCs w:val="22"/>
        </w:rPr>
        <w:t xml:space="preserve">Support the Board and CEO in ensuring clarity of accountability, expectations, and organisational standards.</w:t>
      </w:r>
    </w:p>
    <w:p>
      <w:pPr>
        <w:pStyle w:val="ListParagraph"/>
        <w:numPr>
          <w:ilvl w:val="0"/>
          <w:numId w:val="2"/>
        </w:numPr>
        <w:spacing w:after="80"/>
      </w:pPr>
      <w:r>
        <w:rPr>
          <w:rFonts w:ascii="Arial" w:cs="Arial" w:eastAsia="Arial" w:hAnsi="Arial"/>
          <w:color w:val="2D2D2D"/>
          <w:sz w:val="22"/>
          <w:szCs w:val="22"/>
        </w:rPr>
        <w:t xml:space="preserve">Encourage leadership approaches that develop emerging talent and future female leaders.</w:t>
      </w:r>
    </w:p>
    <w:p>
      <w:pPr>
        <w:spacing w:after="80"/>
      </w:pPr>
      <w:r>
        <w:t xml:space="preserve"/>
      </w:r>
    </w:p>
    <w:p>
      <w:pPr>
        <w:spacing w:after="80" w:before="240"/>
      </w:pPr>
      <w:r>
        <w:rPr>
          <w:rFonts w:ascii="Arial" w:cs="Arial" w:eastAsia="Arial" w:hAnsi="Arial"/>
          <w:b/>
          <w:bCs/>
          <w:color w:val="FF6A3D"/>
          <w:sz w:val="22"/>
          <w:szCs w:val="22"/>
        </w:rPr>
        <w:t xml:space="preserve">Board Contribution</w:t>
      </w:r>
    </w:p>
    <w:p>
      <w:pPr>
        <w:pStyle w:val="ListParagraph"/>
        <w:numPr>
          <w:ilvl w:val="0"/>
          <w:numId w:val="2"/>
        </w:numPr>
        <w:spacing w:after="80"/>
      </w:pPr>
      <w:r>
        <w:rPr>
          <w:rFonts w:ascii="Arial" w:cs="Arial" w:eastAsia="Arial" w:hAnsi="Arial"/>
          <w:color w:val="2D2D2D"/>
          <w:sz w:val="22"/>
          <w:szCs w:val="22"/>
        </w:rPr>
        <w:t xml:space="preserve">Attend and actively contribute to Board meetings and relevant subcommittees.</w:t>
      </w:r>
    </w:p>
    <w:p>
      <w:pPr>
        <w:pStyle w:val="ListParagraph"/>
        <w:numPr>
          <w:ilvl w:val="0"/>
          <w:numId w:val="2"/>
        </w:numPr>
        <w:spacing w:after="80"/>
      </w:pPr>
      <w:r>
        <w:rPr>
          <w:rFonts w:ascii="Arial" w:cs="Arial" w:eastAsia="Arial" w:hAnsi="Arial"/>
          <w:color w:val="2D2D2D"/>
          <w:sz w:val="22"/>
          <w:szCs w:val="22"/>
        </w:rPr>
        <w:t xml:space="preserve">Provide constructive challenge and strategic insight.</w:t>
      </w:r>
    </w:p>
    <w:p>
      <w:pPr>
        <w:pStyle w:val="ListParagraph"/>
        <w:numPr>
          <w:ilvl w:val="0"/>
          <w:numId w:val="2"/>
        </w:numPr>
        <w:spacing w:after="80"/>
      </w:pPr>
      <w:r>
        <w:rPr>
          <w:rFonts w:ascii="Arial" w:cs="Arial" w:eastAsia="Arial" w:hAnsi="Arial"/>
          <w:color w:val="2D2D2D"/>
          <w:sz w:val="22"/>
          <w:szCs w:val="22"/>
        </w:rPr>
        <w:t xml:space="preserve">Act as an ambassador for BelEve and its mission.</w:t>
      </w:r>
    </w:p>
    <w:p>
      <w:pPr>
        <w:pBdr>
          <w:bottom w:val="single" w:color="FF2E93" w:sz="6" w:space="4"/>
        </w:pBdr>
        <w:spacing w:after="120" w:before="300"/>
      </w:pPr>
      <w:r>
        <w:rPr>
          <w:rFonts w:ascii="Arial" w:cs="Arial" w:eastAsia="Arial" w:hAnsi="Arial"/>
          <w:b/>
          <w:bCs/>
          <w:color w:val="FF2E93"/>
          <w:sz w:val="26"/>
          <w:szCs w:val="26"/>
        </w:rPr>
        <w:t xml:space="preserve">Person Specification</w:t>
      </w:r>
    </w:p>
    <w:p>
      <w:pPr>
        <w:spacing w:after="100"/>
      </w:pPr>
      <w:r>
        <w:t xml:space="preserve"/>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4720"/>
        <w:gridCol w:w="5026"/>
      </w:tblGrid>
      <w:tr>
        <w:tc>
          <w:tcPr>
            <w:tcW w:type="dxa" w:w="4720"/>
            <w:tcBorders>
              <w:top w:val="none" w:color="FFFFFF" w:sz="0"/>
              <w:left w:val="none" w:color="FFFFFF" w:sz="0"/>
              <w:bottom w:val="none" w:color="FFFFFF" w:sz="0"/>
              <w:right w:val="none" w:color="FFFFFF" w:sz="0"/>
            </w:tcBorders>
            <w:shd w:fill="FF2E93" w:val="clear"/>
            <w:tcMar>
              <w:top w:type="dxa" w:w="120"/>
              <w:left w:type="dxa" w:w="200"/>
              <w:bottom w:type="dxa" w:w="80"/>
              <w:right w:type="dxa" w:w="120"/>
            </w:tcMar>
          </w:tcPr>
          <w:p>
            <w:r>
              <w:rPr>
                <w:rFonts w:ascii="Arial" w:cs="Arial" w:eastAsia="Arial" w:hAnsi="Arial"/>
                <w:b/>
                <w:bCs/>
                <w:color w:val="FFFFFF"/>
                <w:sz w:val="24"/>
                <w:szCs w:val="24"/>
              </w:rPr>
              <w:t xml:space="preserve">Essential</w:t>
            </w:r>
          </w:p>
        </w:tc>
        <w:tc>
          <w:tcPr>
            <w:tcW w:type="dxa" w:w="5026"/>
            <w:tcBorders>
              <w:top w:val="none" w:color="FFFFFF" w:sz="0"/>
              <w:left w:val="none" w:color="FFFFFF" w:sz="0"/>
              <w:bottom w:val="none" w:color="FFFFFF" w:sz="0"/>
              <w:right w:val="none" w:color="FFFFFF" w:sz="0"/>
            </w:tcBorders>
            <w:shd w:fill="FF6A3D" w:val="clear"/>
            <w:tcMar>
              <w:top w:type="dxa" w:w="120"/>
              <w:left w:type="dxa" w:w="200"/>
              <w:bottom w:type="dxa" w:w="80"/>
              <w:right w:type="dxa" w:w="120"/>
            </w:tcMar>
          </w:tcPr>
          <w:p>
            <w:r>
              <w:rPr>
                <w:rFonts w:ascii="Arial" w:cs="Arial" w:eastAsia="Arial" w:hAnsi="Arial"/>
                <w:b/>
                <w:bCs/>
                <w:color w:val="FFFFFF"/>
                <w:sz w:val="24"/>
                <w:szCs w:val="24"/>
              </w:rPr>
              <w:t xml:space="preserve">Desirable</w:t>
            </w:r>
          </w:p>
        </w:tc>
      </w:tr>
      <w:tr>
        <w:tc>
          <w:tcPr>
            <w:tcW w:type="dxa" w:w="4720"/>
            <w:tcBorders>
              <w:top w:val="none" w:color="FFFFFF" w:sz="0"/>
              <w:left w:val="none" w:color="FFFFFF" w:sz="0"/>
              <w:bottom w:val="none" w:color="FFFFFF" w:sz="0"/>
              <w:right w:val="single" w:color="DDDDDD" w:sz="1"/>
            </w:tcBorders>
            <w:shd w:fill="FFF0F7" w:val="clear"/>
            <w:tcMar>
              <w:top w:type="dxa" w:w="160"/>
              <w:left w:type="dxa" w:w="200"/>
              <w:bottom w:type="dxa" w:w="160"/>
              <w:right w:type="dxa" w:w="160"/>
            </w:tcMar>
            <w:vAlign w:val="top"/>
          </w:tcPr>
          <w:p>
            <w:pPr>
              <w:pStyle w:val="ListParagraph"/>
              <w:numPr>
                <w:ilvl w:val="0"/>
                <w:numId w:val="2"/>
              </w:numPr>
              <w:spacing w:after="100"/>
            </w:pPr>
            <w:r>
              <w:rPr>
                <w:rFonts w:ascii="Arial" w:cs="Arial" w:eastAsia="Arial" w:hAnsi="Arial"/>
                <w:color w:val="2D2D2D"/>
                <w:sz w:val="20"/>
                <w:szCs w:val="20"/>
              </w:rPr>
              <w:t xml:space="preserve">Senior-level HR, People, Culture, OD, or Workforce expertise</w:t>
            </w:r>
          </w:p>
          <w:p>
            <w:pPr>
              <w:pStyle w:val="ListParagraph"/>
              <w:numPr>
                <w:ilvl w:val="0"/>
                <w:numId w:val="2"/>
              </w:numPr>
              <w:spacing w:after="100"/>
            </w:pPr>
            <w:r>
              <w:rPr>
                <w:rFonts w:ascii="Arial" w:cs="Arial" w:eastAsia="Arial" w:hAnsi="Arial"/>
                <w:color w:val="2D2D2D"/>
                <w:sz w:val="20"/>
                <w:szCs w:val="20"/>
              </w:rPr>
              <w:t xml:space="preserve">Experience advising at strategic or executive level</w:t>
            </w:r>
          </w:p>
          <w:p>
            <w:pPr>
              <w:pStyle w:val="ListParagraph"/>
              <w:numPr>
                <w:ilvl w:val="0"/>
                <w:numId w:val="2"/>
              </w:numPr>
              <w:spacing w:after="100"/>
            </w:pPr>
            <w:r>
              <w:rPr>
                <w:rFonts w:ascii="Arial" w:cs="Arial" w:eastAsia="Arial" w:hAnsi="Arial"/>
                <w:color w:val="2D2D2D"/>
                <w:sz w:val="20"/>
                <w:szCs w:val="20"/>
              </w:rPr>
              <w:t xml:space="preserve">Strong understanding of employment law, culture, and people governance</w:t>
            </w:r>
          </w:p>
          <w:p>
            <w:pPr>
              <w:pStyle w:val="ListParagraph"/>
              <w:numPr>
                <w:ilvl w:val="0"/>
                <w:numId w:val="2"/>
              </w:numPr>
              <w:spacing w:after="100"/>
            </w:pPr>
            <w:r>
              <w:rPr>
                <w:rFonts w:ascii="Arial" w:cs="Arial" w:eastAsia="Arial" w:hAnsi="Arial"/>
                <w:color w:val="2D2D2D"/>
                <w:sz w:val="20"/>
                <w:szCs w:val="20"/>
              </w:rPr>
              <w:t xml:space="preserve">Experience supporting organisational change, leadership development, or culture transformation</w:t>
            </w:r>
          </w:p>
          <w:p>
            <w:pPr>
              <w:pStyle w:val="ListParagraph"/>
              <w:numPr>
                <w:ilvl w:val="0"/>
                <w:numId w:val="2"/>
              </w:numPr>
              <w:spacing w:after="100"/>
            </w:pPr>
            <w:r>
              <w:rPr>
                <w:rFonts w:ascii="Arial" w:cs="Arial" w:eastAsia="Arial" w:hAnsi="Arial"/>
                <w:color w:val="2D2D2D"/>
                <w:sz w:val="20"/>
                <w:szCs w:val="20"/>
              </w:rPr>
              <w:t xml:space="preserve">Commitment to equity, inclusion, safeguarding, and youth empowerment</w:t>
            </w:r>
          </w:p>
          <w:p>
            <w:pPr>
              <w:pStyle w:val="ListParagraph"/>
              <w:numPr>
                <w:ilvl w:val="0"/>
                <w:numId w:val="2"/>
              </w:numPr>
              <w:spacing w:after="100"/>
            </w:pPr>
            <w:r>
              <w:rPr>
                <w:rFonts w:ascii="Arial" w:cs="Arial" w:eastAsia="Arial" w:hAnsi="Arial"/>
                <w:color w:val="2D2D2D"/>
                <w:sz w:val="20"/>
                <w:szCs w:val="20"/>
              </w:rPr>
              <w:t xml:space="preserve">Ability to think strategically while balancing operational realities</w:t>
            </w:r>
          </w:p>
          <w:p>
            <w:pPr>
              <w:pStyle w:val="ListParagraph"/>
              <w:numPr>
                <w:ilvl w:val="0"/>
                <w:numId w:val="2"/>
              </w:numPr>
              <w:spacing w:after="0"/>
            </w:pPr>
            <w:r>
              <w:rPr>
                <w:rFonts w:ascii="Arial" w:cs="Arial" w:eastAsia="Arial" w:hAnsi="Arial"/>
                <w:color w:val="2D2D2D"/>
                <w:sz w:val="20"/>
                <w:szCs w:val="20"/>
              </w:rPr>
              <w:t xml:space="preserve">Strong interpersonal skills with the ability to provide supportive challenge</w:t>
            </w:r>
          </w:p>
        </w:tc>
        <w:tc>
          <w:tcPr>
            <w:tcW w:type="dxa" w:w="5026"/>
            <w:tcBorders>
              <w:top w:val="none" w:color="FFFFFF" w:sz="0"/>
              <w:left w:val="none" w:color="FFFFFF" w:sz="0"/>
              <w:bottom w:val="none" w:color="FFFFFF" w:sz="0"/>
              <w:right w:val="none" w:color="FFFFFF" w:sz="0"/>
            </w:tcBorders>
            <w:shd w:fill="FFF0F7" w:val="clear"/>
            <w:tcMar>
              <w:top w:type="dxa" w:w="160"/>
              <w:left w:type="dxa" w:w="200"/>
              <w:bottom w:type="dxa" w:w="160"/>
              <w:right w:type="dxa" w:w="160"/>
            </w:tcMar>
            <w:vAlign w:val="top"/>
          </w:tcPr>
          <w:p>
            <w:pPr>
              <w:pStyle w:val="ListParagraph"/>
              <w:numPr>
                <w:ilvl w:val="0"/>
                <w:numId w:val="2"/>
              </w:numPr>
              <w:spacing w:after="100"/>
            </w:pPr>
            <w:r>
              <w:rPr>
                <w:rFonts w:ascii="Arial" w:cs="Arial" w:eastAsia="Arial" w:hAnsi="Arial"/>
                <w:color w:val="2D2D2D"/>
                <w:sz w:val="20"/>
                <w:szCs w:val="20"/>
              </w:rPr>
              <w:t xml:space="preserve">Experience in the charity, education, youth, public, or social impact sectors</w:t>
            </w:r>
          </w:p>
          <w:p>
            <w:pPr>
              <w:pStyle w:val="ListParagraph"/>
              <w:numPr>
                <w:ilvl w:val="0"/>
                <w:numId w:val="2"/>
              </w:numPr>
              <w:spacing w:after="100"/>
            </w:pPr>
            <w:r>
              <w:rPr>
                <w:rFonts w:ascii="Arial" w:cs="Arial" w:eastAsia="Arial" w:hAnsi="Arial"/>
                <w:color w:val="2D2D2D"/>
                <w:sz w:val="20"/>
                <w:szCs w:val="20"/>
              </w:rPr>
              <w:t xml:space="preserve">Previous Trustee or Non-Executive experience</w:t>
            </w:r>
          </w:p>
          <w:p>
            <w:pPr>
              <w:pStyle w:val="ListParagraph"/>
              <w:numPr>
                <w:ilvl w:val="0"/>
                <w:numId w:val="2"/>
              </w:numPr>
              <w:spacing w:after="100"/>
            </w:pPr>
            <w:r>
              <w:rPr>
                <w:rFonts w:ascii="Arial" w:cs="Arial" w:eastAsia="Arial" w:hAnsi="Arial"/>
                <w:color w:val="2D2D2D"/>
                <w:sz w:val="20"/>
                <w:szCs w:val="20"/>
              </w:rPr>
              <w:t xml:space="preserve">Experience supporting scaling organisations or organisational transformation</w:t>
            </w:r>
          </w:p>
          <w:p>
            <w:pPr>
              <w:pStyle w:val="ListParagraph"/>
              <w:numPr>
                <w:ilvl w:val="0"/>
                <w:numId w:val="2"/>
              </w:numPr>
              <w:spacing w:after="100"/>
            </w:pPr>
            <w:r>
              <w:rPr>
                <w:rFonts w:ascii="Arial" w:cs="Arial" w:eastAsia="Arial" w:hAnsi="Arial"/>
                <w:color w:val="2D2D2D"/>
                <w:sz w:val="20"/>
                <w:szCs w:val="20"/>
              </w:rPr>
              <w:t xml:space="preserve">Knowledge of trauma-informed practice, psychologically safe cultures, or youth development frameworks</w:t>
            </w:r>
          </w:p>
          <w:p>
            <w:pPr>
              <w:pStyle w:val="ListParagraph"/>
              <w:numPr>
                <w:ilvl w:val="0"/>
                <w:numId w:val="2"/>
              </w:numPr>
              <w:spacing w:after="0"/>
            </w:pPr>
            <w:r>
              <w:rPr>
                <w:rFonts w:ascii="Arial" w:cs="Arial" w:eastAsia="Arial" w:hAnsi="Arial"/>
                <w:color w:val="2D2D2D"/>
                <w:sz w:val="20"/>
                <w:szCs w:val="20"/>
              </w:rPr>
              <w:t xml:space="preserve">Understanding of the challenges impacting girls and young women today</w:t>
            </w:r>
          </w:p>
        </w:tc>
      </w:tr>
    </w:tbl>
    <w:p>
      <w:pPr>
        <w:pBdr>
          <w:bottom w:val="single" w:color="FF2E93" w:sz="6" w:space="4"/>
        </w:pBdr>
        <w:spacing w:after="120" w:before="300"/>
      </w:pPr>
      <w:r>
        <w:rPr>
          <w:rFonts w:ascii="Arial" w:cs="Arial" w:eastAsia="Arial" w:hAnsi="Arial"/>
          <w:b/>
          <w:bCs/>
          <w:color w:val="FF2E93"/>
          <w:sz w:val="26"/>
          <w:szCs w:val="26"/>
        </w:rPr>
        <w:t xml:space="preserve">What We Are Looking For</w:t>
      </w:r>
    </w:p>
    <w:p>
      <w:pPr>
        <w:spacing w:after="140"/>
      </w:pPr>
      <w:r>
        <w:rPr>
          <w:rFonts w:ascii="Arial" w:cs="Arial" w:eastAsia="Arial" w:hAnsi="Arial"/>
          <w:b w:val="false"/>
          <w:bCs w:val="false"/>
          <w:i w:val="false"/>
          <w:iCs w:val="false"/>
          <w:color w:val="2D2D2D"/>
          <w:sz w:val="22"/>
          <w:szCs w:val="22"/>
        </w:rPr>
        <w:t xml:space="preserve">We are looking for a Trustee who:</w:t>
      </w:r>
    </w:p>
    <w:p>
      <w:pPr>
        <w:pStyle w:val="ListParagraph"/>
        <w:numPr>
          <w:ilvl w:val="0"/>
          <w:numId w:val="2"/>
        </w:numPr>
        <w:spacing w:after="80"/>
      </w:pPr>
      <w:r>
        <w:rPr>
          <w:rFonts w:ascii="Arial" w:cs="Arial" w:eastAsia="Arial" w:hAnsi="Arial"/>
          <w:color w:val="2D2D2D"/>
          <w:sz w:val="22"/>
          <w:szCs w:val="22"/>
        </w:rPr>
        <w:t xml:space="preserve">Believes in the power and potential of girls and young women.</w:t>
      </w:r>
    </w:p>
    <w:p>
      <w:pPr>
        <w:pStyle w:val="ListParagraph"/>
        <w:numPr>
          <w:ilvl w:val="0"/>
          <w:numId w:val="2"/>
        </w:numPr>
        <w:spacing w:after="80"/>
      </w:pPr>
      <w:r>
        <w:rPr>
          <w:rFonts w:ascii="Arial" w:cs="Arial" w:eastAsia="Arial" w:hAnsi="Arial"/>
          <w:color w:val="2D2D2D"/>
          <w:sz w:val="22"/>
          <w:szCs w:val="22"/>
        </w:rPr>
        <w:t xml:space="preserve">Understands that strong organisations create stronger outcomes for communities.</w:t>
      </w:r>
    </w:p>
    <w:p>
      <w:pPr>
        <w:pStyle w:val="ListParagraph"/>
        <w:numPr>
          <w:ilvl w:val="0"/>
          <w:numId w:val="2"/>
        </w:numPr>
        <w:spacing w:after="80"/>
      </w:pPr>
      <w:r>
        <w:rPr>
          <w:rFonts w:ascii="Arial" w:cs="Arial" w:eastAsia="Arial" w:hAnsi="Arial"/>
          <w:color w:val="2D2D2D"/>
          <w:sz w:val="22"/>
          <w:szCs w:val="22"/>
        </w:rPr>
        <w:t xml:space="preserve">Can help BelEve build the systems, culture, and leadership needed for long-term impact.</w:t>
      </w:r>
    </w:p>
    <w:p>
      <w:pPr>
        <w:pStyle w:val="ListParagraph"/>
        <w:numPr>
          <w:ilvl w:val="0"/>
          <w:numId w:val="2"/>
        </w:numPr>
        <w:spacing w:after="80"/>
      </w:pPr>
      <w:r>
        <w:rPr>
          <w:rFonts w:ascii="Arial" w:cs="Arial" w:eastAsia="Arial" w:hAnsi="Arial"/>
          <w:color w:val="2D2D2D"/>
          <w:sz w:val="22"/>
          <w:szCs w:val="22"/>
        </w:rPr>
        <w:t xml:space="preserve">Is excited by the opportunity to help shape the next phase of BelEve's growth and readiness movement.</w:t>
      </w:r>
    </w:p>
    <w:p>
      <w:pPr>
        <w:pBdr>
          <w:bottom w:val="single" w:color="FF2E93" w:sz="6" w:space="4"/>
        </w:pBdr>
        <w:spacing w:after="120" w:before="300"/>
      </w:pPr>
      <w:r>
        <w:rPr>
          <w:rFonts w:ascii="Arial" w:cs="Arial" w:eastAsia="Arial" w:hAnsi="Arial"/>
          <w:b/>
          <w:bCs/>
          <w:color w:val="FF2E93"/>
          <w:sz w:val="26"/>
          <w:szCs w:val="26"/>
        </w:rPr>
        <w:t xml:space="preserve">Time Commitment</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3000"/>
        <w:gridCol w:w="6746"/>
      </w:tblGrid>
      <w:tr>
        <w:tc>
          <w:tcPr>
            <w:tcW w:type="dxa" w:w="3000"/>
            <w:tcBorders>
              <w:top w:val="none" w:color="FFFFFF" w:sz="0"/>
              <w:left w:val="none" w:color="FFFFFF" w:sz="0"/>
              <w:bottom w:val="none" w:color="FFFFFF" w:sz="0"/>
              <w:right w:val="none" w:color="FFFFFF" w:sz="0"/>
            </w:tcBorders>
            <w:shd w:fill="FF2E93" w:val="clear"/>
            <w:tcMar>
              <w:top w:type="dxa" w:w="120"/>
              <w:left w:type="dxa" w:w="200"/>
              <w:bottom w:type="dxa" w:w="120"/>
              <w:right w:type="dxa" w:w="120"/>
            </w:tcMar>
          </w:tcPr>
          <w:p>
            <w:r>
              <w:rPr>
                <w:rFonts w:ascii="Arial" w:cs="Arial" w:eastAsia="Arial" w:hAnsi="Arial"/>
                <w:b/>
                <w:bCs/>
                <w:color w:val="FFFFFF"/>
                <w:sz w:val="22"/>
                <w:szCs w:val="22"/>
              </w:rPr>
              <w:t xml:space="preserve">Estimated Hours</w:t>
            </w:r>
          </w:p>
        </w:tc>
        <w:tc>
          <w:tcPr>
            <w:tcW w:type="dxa" w:w="6746"/>
            <w:tcBorders>
              <w:top w:val="none" w:color="FFFFFF" w:sz="0"/>
              <w:left w:val="none" w:color="FFFFFF" w:sz="0"/>
              <w:bottom w:val="none" w:color="FFFFFF" w:sz="0"/>
              <w:right w:val="none" w:color="FFFFFF" w:sz="0"/>
            </w:tcBorders>
            <w:shd w:fill="FF2E93" w:val="clear"/>
            <w:tcMar>
              <w:top w:type="dxa" w:w="120"/>
              <w:left w:type="dxa" w:w="160"/>
              <w:bottom w:type="dxa" w:w="120"/>
              <w:right w:type="dxa" w:w="80"/>
            </w:tcMar>
          </w:tcPr>
          <w:p>
            <w:r>
              <w:rPr>
                <w:rFonts w:ascii="Arial" w:cs="Arial" w:eastAsia="Arial" w:hAnsi="Arial"/>
                <w:b/>
                <w:bCs/>
                <w:color w:val="FFFFFF"/>
                <w:sz w:val="22"/>
                <w:szCs w:val="22"/>
              </w:rPr>
              <w:t xml:space="preserve">6–8 hours per month</w:t>
            </w:r>
          </w:p>
        </w:tc>
      </w:tr>
      <w:tr>
        <w:tc>
          <w:tcPr>
            <w:tcW w:type="dxa" w:w="3000"/>
            <w:tcBorders>
              <w:top w:val="single" w:color="DDDDDD" w:sz="1"/>
              <w:left w:val="none" w:color="FFFFFF" w:sz="0"/>
              <w:bottom w:val="none" w:color="FFFFFF" w:sz="0"/>
              <w:right w:val="single" w:color="DDDDDD" w:sz="1"/>
            </w:tcBorders>
            <w:shd w:fill="FFF0F7" w:val="clear"/>
            <w:tcMar>
              <w:top w:type="dxa" w:w="100"/>
              <w:left w:type="dxa" w:w="200"/>
              <w:bottom w:type="dxa" w:w="100"/>
              <w:right w:type="dxa" w:w="120"/>
            </w:tcMar>
          </w:tcPr>
          <w:p>
            <w:r>
              <w:rPr>
                <w:rFonts w:ascii="Arial" w:cs="Arial" w:eastAsia="Arial" w:hAnsi="Arial"/>
                <w:b/>
                <w:bCs/>
                <w:color w:val="FF2E93"/>
                <w:sz w:val="22"/>
                <w:szCs w:val="22"/>
              </w:rPr>
              <w:t xml:space="preserve">Board Meetings</w:t>
            </w:r>
          </w:p>
        </w:tc>
        <w:tc>
          <w:tcPr>
            <w:tcW w:type="dxa" w:w="6746"/>
            <w:tcBorders>
              <w:top w:val="single" w:color="DDDDDD" w:sz="1"/>
              <w:left w:val="none" w:color="FFFFFF" w:sz="0"/>
              <w:bottom w:val="none" w:color="FFFFFF" w:sz="0"/>
              <w:right w:val="none" w:color="FFFFFF" w:sz="0"/>
            </w:tcBorders>
            <w:shd w:fill="FFF0F7" w:val="clear"/>
            <w:tcMar>
              <w:top w:type="dxa" w:w="100"/>
              <w:left w:type="dxa" w:w="160"/>
              <w:bottom w:type="dxa" w:w="100"/>
              <w:right w:type="dxa" w:w="80"/>
            </w:tcMar>
          </w:tcPr>
          <w:p>
            <w:r>
              <w:rPr>
                <w:rFonts w:ascii="Arial" w:cs="Arial" w:eastAsia="Arial" w:hAnsi="Arial"/>
                <w:color w:val="2D2D2D"/>
                <w:sz w:val="22"/>
                <w:szCs w:val="22"/>
              </w:rPr>
              <w:t xml:space="preserve">Quarterly</w:t>
            </w:r>
          </w:p>
        </w:tc>
      </w:tr>
      <w:tr>
        <w:tc>
          <w:tcPr>
            <w:tcW w:type="dxa" w:w="3000"/>
            <w:tcBorders>
              <w:top w:val="single" w:color="DDDDDD" w:sz="1"/>
              <w:left w:val="none" w:color="FFFFFF" w:sz="0"/>
              <w:bottom w:val="none" w:color="FFFFFF" w:sz="0"/>
              <w:right w:val="single" w:color="DDDDDD" w:sz="1"/>
            </w:tcBorders>
            <w:shd w:fill="FFF0F7" w:val="clear"/>
            <w:tcMar>
              <w:top w:type="dxa" w:w="100"/>
              <w:left w:type="dxa" w:w="200"/>
              <w:bottom w:type="dxa" w:w="100"/>
              <w:right w:type="dxa" w:w="120"/>
            </w:tcMar>
          </w:tcPr>
          <w:p>
            <w:r>
              <w:rPr>
                <w:rFonts w:ascii="Arial" w:cs="Arial" w:eastAsia="Arial" w:hAnsi="Arial"/>
                <w:b/>
                <w:bCs/>
                <w:color w:val="FF2E93"/>
                <w:sz w:val="22"/>
                <w:szCs w:val="22"/>
              </w:rPr>
              <w:t xml:space="preserve">Subcommittees</w:t>
            </w:r>
          </w:p>
        </w:tc>
        <w:tc>
          <w:tcPr>
            <w:tcW w:type="dxa" w:w="6746"/>
            <w:tcBorders>
              <w:top w:val="single" w:color="DDDDDD" w:sz="1"/>
              <w:left w:val="none" w:color="FFFFFF" w:sz="0"/>
              <w:bottom w:val="none" w:color="FFFFFF" w:sz="0"/>
              <w:right w:val="none" w:color="FFFFFF" w:sz="0"/>
            </w:tcBorders>
            <w:shd w:fill="FFF0F7" w:val="clear"/>
            <w:tcMar>
              <w:top w:type="dxa" w:w="100"/>
              <w:left w:type="dxa" w:w="160"/>
              <w:bottom w:type="dxa" w:w="100"/>
              <w:right w:type="dxa" w:w="80"/>
            </w:tcMar>
          </w:tcPr>
          <w:p>
            <w:r>
              <w:rPr>
                <w:rFonts w:ascii="Arial" w:cs="Arial" w:eastAsia="Arial" w:hAnsi="Arial"/>
                <w:color w:val="2D2D2D"/>
                <w:sz w:val="22"/>
                <w:szCs w:val="22"/>
              </w:rPr>
              <w:t xml:space="preserve">As required; participation in relevant strategic discussions</w:t>
            </w:r>
          </w:p>
        </w:tc>
      </w:tr>
      <w:tr>
        <w:tc>
          <w:tcPr>
            <w:tcW w:type="dxa" w:w="3000"/>
            <w:tcBorders>
              <w:top w:val="single" w:color="DDDDDD" w:sz="1"/>
              <w:left w:val="none" w:color="FFFFFF" w:sz="0"/>
              <w:bottom w:val="none" w:color="FFFFFF" w:sz="0"/>
              <w:right w:val="single" w:color="DDDDDD" w:sz="1"/>
            </w:tcBorders>
            <w:shd w:fill="FFF0F7" w:val="clear"/>
            <w:tcMar>
              <w:top w:type="dxa" w:w="100"/>
              <w:left w:type="dxa" w:w="200"/>
              <w:bottom w:type="dxa" w:w="100"/>
              <w:right w:type="dxa" w:w="120"/>
            </w:tcMar>
          </w:tcPr>
          <w:p>
            <w:r>
              <w:rPr>
                <w:rFonts w:ascii="Arial" w:cs="Arial" w:eastAsia="Arial" w:hAnsi="Arial"/>
                <w:b/>
                <w:bCs/>
                <w:color w:val="FF2E93"/>
                <w:sz w:val="22"/>
                <w:szCs w:val="22"/>
              </w:rPr>
              <w:t xml:space="preserve">Advisory Support</w:t>
            </w:r>
          </w:p>
        </w:tc>
        <w:tc>
          <w:tcPr>
            <w:tcW w:type="dxa" w:w="6746"/>
            <w:tcBorders>
              <w:top w:val="single" w:color="DDDDDD" w:sz="1"/>
              <w:left w:val="none" w:color="FFFFFF" w:sz="0"/>
              <w:bottom w:val="none" w:color="FFFFFF" w:sz="0"/>
              <w:right w:val="none" w:color="FFFFFF" w:sz="0"/>
            </w:tcBorders>
            <w:shd w:fill="FFF0F7" w:val="clear"/>
            <w:tcMar>
              <w:top w:type="dxa" w:w="100"/>
              <w:left w:type="dxa" w:w="160"/>
              <w:bottom w:type="dxa" w:w="100"/>
              <w:right w:type="dxa" w:w="80"/>
            </w:tcMar>
          </w:tcPr>
          <w:p>
            <w:r>
              <w:rPr>
                <w:rFonts w:ascii="Arial" w:cs="Arial" w:eastAsia="Arial" w:hAnsi="Arial"/>
                <w:color w:val="2D2D2D"/>
                <w:sz w:val="22"/>
                <w:szCs w:val="22"/>
              </w:rPr>
              <w:t xml:space="preserve">Occasional meetings with senior leadership where appropriate</w:t>
            </w:r>
          </w:p>
        </w:tc>
      </w:tr>
      <w:tr>
        <w:tc>
          <w:tcPr>
            <w:tcW w:type="dxa" w:w="3000"/>
            <w:tcBorders>
              <w:top w:val="single" w:color="DDDDDD" w:sz="1"/>
              <w:left w:val="none" w:color="FFFFFF" w:sz="0"/>
              <w:bottom w:val="none" w:color="FFFFFF" w:sz="0"/>
              <w:right w:val="single" w:color="DDDDDD" w:sz="1"/>
            </w:tcBorders>
            <w:shd w:fill="FFF0F7" w:val="clear"/>
            <w:tcMar>
              <w:top w:type="dxa" w:w="100"/>
              <w:left w:type="dxa" w:w="200"/>
              <w:bottom w:type="dxa" w:w="100"/>
              <w:right w:type="dxa" w:w="120"/>
            </w:tcMar>
          </w:tcPr>
          <w:p>
            <w:r>
              <w:rPr>
                <w:rFonts w:ascii="Arial" w:cs="Arial" w:eastAsia="Arial" w:hAnsi="Arial"/>
                <w:b/>
                <w:bCs/>
                <w:color w:val="FF2E93"/>
                <w:sz w:val="22"/>
                <w:szCs w:val="22"/>
              </w:rPr>
              <w:t xml:space="preserve">Term of Office</w:t>
            </w:r>
          </w:p>
        </w:tc>
        <w:tc>
          <w:tcPr>
            <w:tcW w:type="dxa" w:w="6746"/>
            <w:tcBorders>
              <w:top w:val="single" w:color="DDDDDD" w:sz="1"/>
              <w:left w:val="none" w:color="FFFFFF" w:sz="0"/>
              <w:bottom w:val="none" w:color="FFFFFF" w:sz="0"/>
              <w:right w:val="none" w:color="FFFFFF" w:sz="0"/>
            </w:tcBorders>
            <w:shd w:fill="FFF0F7" w:val="clear"/>
            <w:tcMar>
              <w:top w:type="dxa" w:w="100"/>
              <w:left w:type="dxa" w:w="160"/>
              <w:bottom w:type="dxa" w:w="100"/>
              <w:right w:type="dxa" w:w="80"/>
            </w:tcMar>
          </w:tcPr>
          <w:p>
            <w:r>
              <w:rPr>
                <w:rFonts w:ascii="Arial" w:cs="Arial" w:eastAsia="Arial" w:hAnsi="Arial"/>
                <w:color w:val="2D2D2D"/>
                <w:sz w:val="22"/>
                <w:szCs w:val="22"/>
              </w:rPr>
              <w:t xml:space="preserve">Initial three-year term, with the opportunity for renewal subject to Board approval</w:t>
            </w:r>
          </w:p>
        </w:tc>
      </w:tr>
    </w:tbl>
    <w:p>
      <w:pPr>
        <w:pBdr>
          <w:bottom w:val="single" w:color="FF2E93" w:sz="6" w:space="4"/>
        </w:pBdr>
        <w:spacing w:after="120" w:before="300"/>
      </w:pPr>
      <w:r>
        <w:rPr>
          <w:rFonts w:ascii="Arial" w:cs="Arial" w:eastAsia="Arial" w:hAnsi="Arial"/>
          <w:b/>
          <w:bCs/>
          <w:color w:val="FF2E93"/>
          <w:sz w:val="26"/>
          <w:szCs w:val="26"/>
        </w:rPr>
        <w:t xml:space="preserve">Why Join BelEve?</w:t>
      </w:r>
    </w:p>
    <w:p>
      <w:pPr>
        <w:spacing w:after="140"/>
      </w:pPr>
      <w:r>
        <w:rPr>
          <w:rFonts w:ascii="Arial" w:cs="Arial" w:eastAsia="Arial" w:hAnsi="Arial"/>
          <w:b w:val="false"/>
          <w:bCs w:val="false"/>
          <w:i w:val="false"/>
          <w:iCs w:val="false"/>
          <w:color w:val="2D2D2D"/>
          <w:sz w:val="22"/>
          <w:szCs w:val="22"/>
        </w:rPr>
        <w:t xml:space="preserve">This is an opportunity to help shape a nationally relevant movement focused on girls, leadership, readiness, and systems change. As a Trustee, you will contribute to:</w:t>
      </w:r>
    </w:p>
    <w:p>
      <w:pPr>
        <w:pStyle w:val="ListParagraph"/>
        <w:numPr>
          <w:ilvl w:val="0"/>
          <w:numId w:val="2"/>
        </w:numPr>
        <w:spacing w:after="80"/>
      </w:pPr>
      <w:r>
        <w:rPr>
          <w:rFonts w:ascii="Arial" w:cs="Arial" w:eastAsia="Arial" w:hAnsi="Arial"/>
          <w:color w:val="2D2D2D"/>
          <w:sz w:val="22"/>
          <w:szCs w:val="22"/>
        </w:rPr>
        <w:t xml:space="preserve">Strengthening opportunities for girls and young women.</w:t>
      </w:r>
    </w:p>
    <w:p>
      <w:pPr>
        <w:pStyle w:val="ListParagraph"/>
        <w:numPr>
          <w:ilvl w:val="0"/>
          <w:numId w:val="2"/>
        </w:numPr>
        <w:spacing w:after="80"/>
      </w:pPr>
      <w:r>
        <w:rPr>
          <w:rFonts w:ascii="Arial" w:cs="Arial" w:eastAsia="Arial" w:hAnsi="Arial"/>
          <w:color w:val="2D2D2D"/>
          <w:sz w:val="22"/>
          <w:szCs w:val="22"/>
        </w:rPr>
        <w:t xml:space="preserve">Building sustainable pathways into leadership and employment.</w:t>
      </w:r>
    </w:p>
    <w:p>
      <w:pPr>
        <w:pStyle w:val="ListParagraph"/>
        <w:numPr>
          <w:ilvl w:val="0"/>
          <w:numId w:val="2"/>
        </w:numPr>
        <w:spacing w:after="80"/>
      </w:pPr>
      <w:r>
        <w:rPr>
          <w:rFonts w:ascii="Arial" w:cs="Arial" w:eastAsia="Arial" w:hAnsi="Arial"/>
          <w:color w:val="2D2D2D"/>
          <w:sz w:val="22"/>
          <w:szCs w:val="22"/>
        </w:rPr>
        <w:t xml:space="preserve">Influencing how readiness and transition support are understood across sectors.</w:t>
      </w:r>
    </w:p>
    <w:p>
      <w:pPr>
        <w:pStyle w:val="ListParagraph"/>
        <w:numPr>
          <w:ilvl w:val="0"/>
          <w:numId w:val="2"/>
        </w:numPr>
        <w:spacing w:after="80"/>
      </w:pPr>
      <w:r>
        <w:rPr>
          <w:rFonts w:ascii="Arial" w:cs="Arial" w:eastAsia="Arial" w:hAnsi="Arial"/>
          <w:color w:val="2D2D2D"/>
          <w:sz w:val="22"/>
          <w:szCs w:val="22"/>
        </w:rPr>
        <w:t xml:space="preserve">Supporting the long-term sustainability and impact of a growing organisation.</w:t>
      </w:r>
    </w:p>
    <w:p>
      <w:pPr>
        <w:spacing w:after="140"/>
      </w:pPr>
      <w:r>
        <w:t xml:space="preserve"/>
      </w:r>
    </w:p>
    <w:p>
      <w:pPr>
        <w:spacing w:after="140"/>
      </w:pPr>
      <w:r>
        <w:rPr>
          <w:rFonts w:ascii="Arial" w:cs="Arial" w:eastAsia="Arial" w:hAnsi="Arial"/>
          <w:b w:val="false"/>
          <w:bCs w:val="false"/>
          <w:i w:val="false"/>
          <w:iCs w:val="false"/>
          <w:color w:val="2D2D2D"/>
          <w:sz w:val="22"/>
          <w:szCs w:val="22"/>
        </w:rPr>
        <w:t xml:space="preserve">You will join a passionate Board and leadership team committed to creating meaningful change for the next generation of female leaders.</w:t>
      </w:r>
    </w:p>
    <w:p>
      <w:pPr>
        <w:spacing w:after="200"/>
      </w:pPr>
      <w:r>
        <w:t xml:space="preserve"/>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none" w:color="FFFFFF" w:sz="0"/>
              <w:left w:val="none" w:color="FFFFFF" w:sz="0"/>
              <w:bottom w:val="none" w:color="FFFFFF" w:sz="0"/>
              <w:right w:val="none" w:color="FFFFFF" w:sz="0"/>
            </w:tcBorders>
            <w:shd w:fill="FF2E93" w:val="clear"/>
            <w:tcMar>
              <w:top w:type="dxa" w:w="260"/>
              <w:left w:type="dxa" w:w="400"/>
              <w:bottom w:type="dxa" w:w="260"/>
              <w:right w:type="dxa" w:w="400"/>
            </w:tcMar>
          </w:tcPr>
          <w:p>
            <w:pPr>
              <w:jc w:val="center"/>
            </w:pPr>
            <w:r>
              <w:rPr>
                <w:rFonts w:ascii="Arial" w:cs="Arial" w:eastAsia="Arial" w:hAnsi="Arial"/>
                <w:i/>
                <w:iCs/>
                <w:color w:val="FFFFFF"/>
                <w:sz w:val="22"/>
                <w:szCs w:val="22"/>
              </w:rPr>
              <w:t xml:space="preserve">BelEve UK  |  Believing in the potential of every girl and young woman</w:t>
            </w:r>
          </w:p>
          <w:p>
            <w:pPr>
              <w:spacing w:before="80"/>
              <w:jc w:val="center"/>
            </w:pPr>
            <w:r>
              <w:rPr>
                <w:rFonts w:ascii="Arial" w:cs="Arial" w:eastAsia="Arial" w:hAnsi="Arial"/>
                <w:color w:val="2C9DA0"/>
                <w:sz w:val="22"/>
                <w:szCs w:val="22"/>
              </w:rPr>
              <w:t xml:space="preserve">www.beleve.org.uk</w:t>
            </w:r>
          </w:p>
        </w:tc>
      </w:tr>
    </w:tbl>
    <w:sectPr>
      <w:headerReference w:type="default" r:id="rId7"/>
      <w:footerReference w:type="default" r:id="rId8"/>
      <w:pgSz w:w="11906" w:h="16838" w:orient="portrait"/>
      <w:pgMar w:top="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FF2E93" w:sz="4" w:space="4"/>
      </w:pBdr>
      <w:tabs>
        <w:tab w:val="right" w:pos="9026"/>
      </w:tabs>
      <w:spacing w:before="120"/>
    </w:pPr>
    <w:r>
      <w:rPr>
        <w:rFonts w:ascii="Arial" w:cs="Arial" w:eastAsia="Arial" w:hAnsi="Arial"/>
        <w:color w:val="555555"/>
        <w:sz w:val="18"/>
        <w:szCs w:val="18"/>
      </w:rPr>
      <w:t xml:space="preserve">BelEve UK  |  HR Trustee – Job Description  |  V1 May 2026</w:t>
    </w:r>
    <w:r>
      <w:rPr>
        <w:rFonts w:ascii="Arial" w:cs="Arial" w:eastAsia="Arial" w:hAnsi="Arial"/>
        <w:color w:val="555555"/>
        <w:sz w:val="18"/>
        <w:szCs w:val="18"/>
      </w:rPr>
      <w:t xml:space="preserve">	Page </w:t>
    </w:r>
    <w:r>
      <w:rPr>
        <w:rFonts w:ascii="Arial" w:cs="Arial" w:eastAsia="Arial" w:hAnsi="Arial"/>
        <w:color w:val="555555"/>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none" w:color="FFFFFF" w:sz="0"/>
            <w:left w:val="none" w:color="FFFFFF" w:sz="0"/>
            <w:bottom w:val="none" w:color="FFFFFF" w:sz="0"/>
            <w:right w:val="none" w:color="FFFFFF" w:sz="0"/>
          </w:tcBorders>
          <w:shd w:fill="202020" w:val="clear"/>
          <w:tcMar>
            <w:top w:type="dxa" w:w="220"/>
            <w:left w:type="dxa" w:w="400"/>
            <w:bottom w:type="dxa" w:w="220"/>
            <w:right w:type="dxa" w:w="400"/>
          </w:tcMar>
        </w:tcPr>
        <w:p>
          <w:r>
            <w:rPr>
              <w:noProof/>
            </w:rPr>
            <w:drawing>
              <wp:inline xmlns:wp="http://schemas.openxmlformats.org/drawingml/2006/wordprocessingDrawing" distT="0" distB="0" distL="114300" distR="114300">
                <wp:extent cx="685800" cy="685800"/>
                <wp:effectExtent l="0" t="0" r="0" b="0"/>
                <wp:docPr id="1" name="BelEv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lEveLogo"/>
                        <pic:cNvPicPr/>
                      </pic:nvPicPr>
                      <pic:blipFill>
                        <a:blip r:embed="rId1"/>
                        <a:stretch>
                          <a:fillRect/>
                        </a:stretch>
                      </pic:blipFill>
                      <pic:spPr>
                        <a:xfrm>
                          <a:off x="0" y="0"/>
                          <a:ext cx="685800" cy="685800"/>
                        </a:xfrm>
                        <a:prstGeom prst="rect">
                          <a:avLst/>
                        </a:prstGeom>
                      </pic:spPr>
                    </pic:pic>
                  </a:graphicData>
                </a:graphic>
              </wp:inline>
            </w:drawing>
          </w:r>
          <w:r>
            <w:rPr>
              <w:rFonts w:ascii="Arial" w:cs="Arial" w:eastAsia="Arial" w:hAnsi="Arial"/>
              <w:color w:val="FFFFFF"/>
              <w:sz w:val="22"/>
              <w:szCs w:val="22"/>
            </w:rPr>
            <w:t xml:space="preserve">   Inspiring the Next Generation of Female Leaders</w:t>
          </w: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2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1" Type="http://schemas.openxmlformats.org/officeDocument/2006/relationships/image" Target="media/beleve-logo.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2026-05-29T13:42:06.521Z</dcterms:created>
  <dcterms:modified xsi:type="dcterms:W3CDTF">2026-05-29T13:42:06.521Z</dcterms:modified>
</cp:coreProperties>
</file>

<file path=docProps/custom.xml><?xml version="1.0" encoding="utf-8"?>
<Properties xmlns="http://schemas.openxmlformats.org/officeDocument/2006/custom-properties" xmlns:vt="http://schemas.openxmlformats.org/officeDocument/2006/docPropsVTypes"/>
</file>